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bCs/>
          <w:color w:val="000000"/>
          <w:sz w:val="32"/>
          <w:szCs w:val="32"/>
        </w:rPr>
        <w:t>附件1</w:t>
      </w:r>
    </w:p>
    <w:p>
      <w:pPr>
        <w:pStyle w:val="2"/>
        <w:rPr>
          <w:rFonts w:hint="eastAsia" w:ascii="Times New Roman" w:hAnsi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51" w:afterLines="100" w:line="640" w:lineRule="exact"/>
        <w:jc w:val="center"/>
        <w:textAlignment w:val="auto"/>
        <w:rPr>
          <w:rFonts w:hint="eastAsia" w:ascii="Times New Roman" w:hAnsi="Times New Roman" w:eastAsia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bCs/>
          <w:color w:val="000000"/>
          <w:sz w:val="44"/>
          <w:szCs w:val="44"/>
        </w:rPr>
        <w:t>广东省老旧电梯隐患排查工作指引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520" w:lineRule="exact"/>
        <w:textAlignment w:val="auto"/>
        <w:rPr>
          <w:rFonts w:hint="eastAsia" w:ascii="Times New Roman" w:hAnsi="Times New Roman" w:eastAsia="黑体"/>
          <w:color w:val="000000"/>
          <w:sz w:val="28"/>
          <w:szCs w:val="28"/>
        </w:rPr>
      </w:pPr>
      <w:r>
        <w:rPr>
          <w:rFonts w:hint="eastAsia" w:ascii="Times New Roman" w:hAnsi="Times New Roman" w:eastAsia="黑体"/>
          <w:color w:val="000000"/>
          <w:sz w:val="28"/>
          <w:szCs w:val="28"/>
        </w:rPr>
        <w:t>说明：</w:t>
      </w:r>
      <w:r>
        <w:rPr>
          <w:rFonts w:hint="eastAsia" w:ascii="Times New Roman" w:hAnsi="Times New Roman" w:eastAsia="仿宋_GB2312"/>
          <w:b/>
          <w:bCs/>
          <w:color w:val="000000"/>
          <w:sz w:val="28"/>
          <w:szCs w:val="28"/>
        </w:rPr>
        <w:t>1.</w:t>
      </w:r>
      <w:r>
        <w:rPr>
          <w:rFonts w:hint="eastAsia" w:ascii="Times New Roman" w:hAnsi="Times New Roman" w:eastAsia="仿宋_GB2312"/>
          <w:color w:val="000000"/>
          <w:sz w:val="28"/>
          <w:szCs w:val="28"/>
        </w:rPr>
        <w:t>子项目排查可能存在的问题可参考以下内容填写；</w:t>
      </w:r>
    </w:p>
    <w:p>
      <w:pPr>
        <w:keepNext w:val="0"/>
        <w:keepLines w:val="0"/>
        <w:pageBreakBefore w:val="0"/>
        <w:widowControl w:val="0"/>
        <w:tabs>
          <w:tab w:val="left" w:pos="1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74" w:leftChars="260" w:hanging="242" w:hangingChars="86"/>
        <w:textAlignment w:val="auto"/>
        <w:rPr>
          <w:rFonts w:hint="eastAsia" w:ascii="Times New Roman" w:hAnsi="Times New Roman" w:eastAsia="仿宋_GB2312"/>
          <w:b/>
          <w:bCs/>
          <w:color w:val="000000"/>
          <w:spacing w:val="-6"/>
          <w:sz w:val="28"/>
          <w:szCs w:val="28"/>
          <w:lang w:eastAsia="zh-CN"/>
        </w:rPr>
      </w:pPr>
      <w:r>
        <w:rPr>
          <w:rFonts w:hint="eastAsia" w:ascii="Times New Roman" w:hAnsi="Times New Roman" w:eastAsia="仿宋_GB2312"/>
          <w:b/>
          <w:bCs/>
          <w:color w:val="000000"/>
          <w:sz w:val="28"/>
          <w:szCs w:val="28"/>
        </w:rPr>
        <w:t>2.</w:t>
      </w:r>
      <w:r>
        <w:rPr>
          <w:rFonts w:hint="eastAsia" w:ascii="Times New Roman" w:hAnsi="Times New Roman" w:eastAsia="仿宋_GB2312"/>
          <w:color w:val="000000"/>
          <w:spacing w:val="-6"/>
          <w:sz w:val="28"/>
          <w:szCs w:val="28"/>
        </w:rPr>
        <w:t>降低风险措施的建议</w:t>
      </w:r>
      <w:r>
        <w:rPr>
          <w:rFonts w:hint="eastAsia" w:ascii="Times New Roman" w:hAnsi="Times New Roman" w:eastAsia="仿宋_GB2312"/>
          <w:color w:val="000000"/>
          <w:spacing w:val="-6"/>
          <w:sz w:val="28"/>
          <w:szCs w:val="28"/>
          <w:lang w:val="en-US" w:eastAsia="zh-CN"/>
        </w:rPr>
        <w:t>是</w:t>
      </w:r>
      <w:r>
        <w:rPr>
          <w:rFonts w:hint="eastAsia" w:ascii="Times New Roman" w:hAnsi="Times New Roman" w:eastAsia="仿宋_GB2312"/>
          <w:color w:val="000000"/>
          <w:spacing w:val="-6"/>
          <w:sz w:val="28"/>
          <w:szCs w:val="28"/>
        </w:rPr>
        <w:t>根据以往事故案例、风险控制等进行了限定，</w:t>
      </w:r>
      <w:r>
        <w:rPr>
          <w:rFonts w:hint="eastAsia" w:ascii="Times New Roman" w:hAnsi="Times New Roman" w:eastAsia="仿宋_GB2312"/>
          <w:color w:val="000000"/>
          <w:spacing w:val="-6"/>
          <w:sz w:val="28"/>
          <w:szCs w:val="28"/>
          <w:lang w:val="en-US" w:eastAsia="zh-CN"/>
        </w:rPr>
        <w:t>维保</w:t>
      </w:r>
      <w:r>
        <w:rPr>
          <w:rFonts w:hint="eastAsia" w:ascii="Times New Roman" w:hAnsi="Times New Roman" w:eastAsia="仿宋_GB2312"/>
          <w:color w:val="000000"/>
          <w:spacing w:val="-6"/>
          <w:sz w:val="28"/>
          <w:szCs w:val="28"/>
        </w:rPr>
        <w:t>单位根据发现的问题采取对应措施的建议进行</w:t>
      </w:r>
      <w:r>
        <w:rPr>
          <w:rFonts w:hint="eastAsia" w:ascii="Times New Roman" w:hAnsi="Times New Roman" w:eastAsia="仿宋_GB2312"/>
          <w:b/>
          <w:bCs/>
          <w:color w:val="000000"/>
          <w:spacing w:val="-6"/>
          <w:sz w:val="28"/>
          <w:szCs w:val="28"/>
        </w:rPr>
        <w:t>单项</w:t>
      </w:r>
      <w:r>
        <w:rPr>
          <w:rFonts w:hint="eastAsia" w:ascii="Times New Roman" w:hAnsi="Times New Roman" w:eastAsia="仿宋_GB2312"/>
          <w:color w:val="000000"/>
          <w:spacing w:val="-6"/>
          <w:sz w:val="28"/>
          <w:szCs w:val="28"/>
        </w:rPr>
        <w:t>勾选</w:t>
      </w:r>
      <w:r>
        <w:rPr>
          <w:rFonts w:hint="eastAsia" w:ascii="Times New Roman" w:hAnsi="Times New Roman" w:eastAsia="仿宋_GB2312"/>
          <w:color w:val="000000"/>
          <w:spacing w:val="-6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firstLine="840" w:firstLineChars="300"/>
        <w:jc w:val="left"/>
        <w:textAlignment w:val="auto"/>
        <w:rPr>
          <w:rFonts w:hint="eastAsia" w:ascii="Times New Roman" w:hAnsi="Times New Roman" w:eastAsia="黑体"/>
          <w:color w:val="000000"/>
          <w:sz w:val="28"/>
          <w:szCs w:val="28"/>
        </w:rPr>
      </w:pPr>
      <w:r>
        <w:rPr>
          <w:rFonts w:hint="eastAsia" w:ascii="Times New Roman" w:hAnsi="Times New Roman" w:eastAsia="黑体"/>
          <w:color w:val="000000"/>
          <w:sz w:val="28"/>
          <w:szCs w:val="28"/>
        </w:rPr>
        <w:t>一、乘客与载货电梯</w:t>
      </w:r>
    </w:p>
    <w:tbl>
      <w:tblPr>
        <w:tblStyle w:val="4"/>
        <w:tblW w:w="952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872"/>
        <w:gridCol w:w="8"/>
        <w:gridCol w:w="682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tblHeader/>
          <w:jc w:val="center"/>
        </w:trPr>
        <w:tc>
          <w:tcPr>
            <w:tcW w:w="818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7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szCs w:val="24"/>
              </w:rPr>
              <w:t>排查项目</w:t>
            </w:r>
          </w:p>
        </w:tc>
        <w:tc>
          <w:tcPr>
            <w:tcW w:w="6830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szCs w:val="24"/>
              </w:rPr>
              <w:t>可能存在问题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18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电动机</w:t>
            </w:r>
          </w:p>
        </w:tc>
        <w:tc>
          <w:tcPr>
            <w:tcW w:w="6830" w:type="dxa"/>
            <w:gridSpan w:val="2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电动机外壳或基座有影响安全的破裂；</w:t>
            </w:r>
          </w:p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b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电动机轴承出现碎裂或影响运行的磨损而产生异常的噪声、振动、温升；</w:t>
            </w:r>
          </w:p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c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电动机定子与转子发生碰擦而产生异常的噪声、振动；</w:t>
            </w:r>
          </w:p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d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永磁同步电动机磁钢脱落而产生异常的噪声、振动；</w:t>
            </w:r>
          </w:p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e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电机三相电流不平衡而产生异常的噪声、振动、温升；</w:t>
            </w:r>
          </w:p>
          <w:p>
            <w:pPr>
              <w:jc w:val="left"/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f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永磁同步电动机磁钢出现严重退磁，导致在超过额定载重量的110%时不能全程运行。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818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高铝锌基合金蜗轮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减速箱</w:t>
            </w:r>
          </w:p>
        </w:tc>
        <w:tc>
          <w:tcPr>
            <w:tcW w:w="6830" w:type="dxa"/>
            <w:gridSpan w:val="2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蜗轮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en-US" w:eastAsia="zh-CN"/>
              </w:rPr>
              <w:t>蜗杆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出现影响安全运行的轮齿塑性变形、折断、裂纹、齿面点蚀、胶合或磨损等形式的严重失效；</w:t>
            </w:r>
          </w:p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b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传动轴、轴承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法兰、联轴器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或键出现影响安全运行的损坏；</w:t>
            </w:r>
          </w:p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c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减速箱体出现裂纹；</w:t>
            </w:r>
          </w:p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d）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减速箱轴伸出端渗漏油每小时超过25cm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818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铜质蜗轮、钢质齿轮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减速箱</w:t>
            </w:r>
          </w:p>
        </w:tc>
        <w:tc>
          <w:tcPr>
            <w:tcW w:w="6830" w:type="dxa"/>
            <w:gridSpan w:val="2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蜗轮蜗杆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、斜齿轮、行星齿轮出现影响安全运行的轮齿塑性变形、折断、裂纹、齿面点蚀、胶合或磨损等形式的严重失效；</w:t>
            </w:r>
          </w:p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b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传动轴、轴承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法兰、联轴器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或键出现影响安全运行的损坏；</w:t>
            </w:r>
          </w:p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c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减速箱体出现裂纹；</w:t>
            </w:r>
          </w:p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d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减速箱轴伸出端渗漏油每小时超过25cm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818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非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冗余型制动器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单铁芯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单弹簧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830" w:type="dxa"/>
            <w:gridSpan w:val="2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电梯运行时，制动器的制动衬块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片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与制动轮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盘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不能完全脱离；</w:t>
            </w:r>
          </w:p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b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制动衬块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片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严重磨损或制动弹簧失效；</w:t>
            </w:r>
          </w:p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c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受力结构件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例如：制动臂、销轴等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出现裂纹或严重磨损；</w:t>
            </w:r>
          </w:p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d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制动器电磁线圈铁芯动作异常，出现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不同步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卡阻现象。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18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冗余型制动器</w:t>
            </w:r>
          </w:p>
        </w:tc>
        <w:tc>
          <w:tcPr>
            <w:tcW w:w="6830" w:type="dxa"/>
            <w:gridSpan w:val="2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电梯运行时，制动器的制动衬块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片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与制动轮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盘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不能完全脱离；</w:t>
            </w:r>
          </w:p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b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制动衬块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片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严重磨损或制动弹簧失效；</w:t>
            </w:r>
          </w:p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c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受力结构件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例如：制动臂、销轴等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出现裂纹或严重磨损；</w:t>
            </w:r>
          </w:p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d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制动器电磁线圈铁芯动作异常，出现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不同步、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卡阻现象。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818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曳引轮</w:t>
            </w:r>
          </w:p>
        </w:tc>
        <w:tc>
          <w:tcPr>
            <w:tcW w:w="6830" w:type="dxa"/>
            <w:gridSpan w:val="2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绳槽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严重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磨损；</w:t>
            </w:r>
          </w:p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b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绳槽有缺损或不正常磨损；</w:t>
            </w:r>
          </w:p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c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出现裂纹。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0" w:hRule="atLeast"/>
          <w:jc w:val="center"/>
        </w:trPr>
        <w:tc>
          <w:tcPr>
            <w:tcW w:w="818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曳引钢丝绳和液压电梯悬挂钢丝绳</w:t>
            </w:r>
          </w:p>
        </w:tc>
        <w:tc>
          <w:tcPr>
            <w:tcW w:w="6822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断丝：钢丝绳外层绳股在一个捻距内断丝总数大于下表的规定；</w:t>
            </w:r>
          </w:p>
          <w:tbl>
            <w:tblPr>
              <w:tblStyle w:val="4"/>
              <w:tblW w:w="6084" w:type="dxa"/>
              <w:jc w:val="center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053"/>
              <w:gridCol w:w="961"/>
              <w:gridCol w:w="1070"/>
              <w:gridCol w:w="1000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</w:tblPrEx>
              <w:trPr>
                <w:trHeight w:val="227" w:hRule="atLeast"/>
                <w:jc w:val="center"/>
              </w:trPr>
              <w:tc>
                <w:tcPr>
                  <w:tcW w:w="3053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_GB2312" w:cs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Times New Roman" w:hAnsi="Times New Roman" w:eastAsia="仿宋_GB2312" w:cs="仿宋_GB2312"/>
                      <w:color w:val="000000"/>
                      <w:sz w:val="21"/>
                      <w:szCs w:val="21"/>
                      <w:lang w:eastAsia="zh-CN"/>
                    </w:rPr>
                    <w:t>断丝的形式</w:t>
                  </w:r>
                </w:p>
              </w:tc>
              <w:tc>
                <w:tcPr>
                  <w:tcW w:w="3031" w:type="dxa"/>
                  <w:gridSpan w:val="3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_GB2312" w:cs="仿宋_GB2312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仿宋_GB2312"/>
                      <w:color w:val="000000"/>
                      <w:sz w:val="21"/>
                      <w:szCs w:val="21"/>
                      <w:lang w:val="en-US" w:eastAsia="zh-CN"/>
                    </w:rPr>
                    <w:t>钢丝绳类型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  <w:jc w:val="center"/>
              </w:trPr>
              <w:tc>
                <w:tcPr>
                  <w:tcW w:w="3053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_GB2312" w:cs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6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_GB2312" w:cs="仿宋_GB2312"/>
                      <w:color w:val="000000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_GB2312" w:cs="仿宋_GB2312"/>
                      <w:color w:val="000000"/>
                      <w:sz w:val="21"/>
                      <w:szCs w:val="21"/>
                    </w:rPr>
                    <w:t>6×19</w:t>
                  </w:r>
                </w:p>
              </w:tc>
              <w:tc>
                <w:tcPr>
                  <w:tcW w:w="107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_GB2312" w:cs="仿宋_GB2312"/>
                      <w:color w:val="000000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_GB2312" w:cs="仿宋_GB2312"/>
                      <w:color w:val="000000"/>
                      <w:sz w:val="21"/>
                      <w:szCs w:val="21"/>
                    </w:rPr>
                    <w:t>8×19</w:t>
                  </w:r>
                </w:p>
              </w:tc>
              <w:tc>
                <w:tcPr>
                  <w:tcW w:w="100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_GB2312" w:cs="仿宋_GB2312"/>
                      <w:color w:val="000000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_GB2312" w:cs="仿宋_GB2312"/>
                      <w:color w:val="000000"/>
                      <w:sz w:val="21"/>
                      <w:szCs w:val="21"/>
                    </w:rPr>
                    <w:t>9×19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  <w:jc w:val="center"/>
              </w:trPr>
              <w:tc>
                <w:tcPr>
                  <w:tcW w:w="3053" w:type="dxa"/>
                  <w:noWrap w:val="0"/>
                  <w:vAlign w:val="center"/>
                </w:tcPr>
                <w:p>
                  <w:pPr>
                    <w:pStyle w:val="6"/>
                    <w:jc w:val="center"/>
                    <w:rPr>
                      <w:rFonts w:hint="eastAsia" w:ascii="Times New Roman" w:hAnsi="Times New Roman" w:eastAsia="仿宋_GB2312" w:cs="仿宋_GB2312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仿宋_GB2312"/>
                      <w:color w:val="000000"/>
                      <w:sz w:val="21"/>
                      <w:szCs w:val="21"/>
                      <w:lang w:eastAsia="zh-CN"/>
                    </w:rPr>
                    <w:t>均布在外层绳股上</w:t>
                  </w:r>
                </w:p>
              </w:tc>
              <w:tc>
                <w:tcPr>
                  <w:tcW w:w="961" w:type="dxa"/>
                  <w:noWrap w:val="0"/>
                  <w:vAlign w:val="center"/>
                </w:tcPr>
                <w:p>
                  <w:pPr>
                    <w:pStyle w:val="6"/>
                    <w:jc w:val="center"/>
                    <w:rPr>
                      <w:rFonts w:hint="eastAsia" w:ascii="Times New Roman" w:hAnsi="Times New Roman" w:eastAsia="仿宋_GB2312" w:cs="仿宋_GB2312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仿宋_GB2312"/>
                      <w:color w:val="000000"/>
                      <w:sz w:val="21"/>
                      <w:szCs w:val="21"/>
                      <w:lang w:eastAsia="zh-CN"/>
                    </w:rPr>
                    <w:t>24</w:t>
                  </w:r>
                </w:p>
              </w:tc>
              <w:tc>
                <w:tcPr>
                  <w:tcW w:w="1070" w:type="dxa"/>
                  <w:noWrap w:val="0"/>
                  <w:vAlign w:val="center"/>
                </w:tcPr>
                <w:p>
                  <w:pPr>
                    <w:pStyle w:val="6"/>
                    <w:jc w:val="center"/>
                    <w:rPr>
                      <w:rFonts w:hint="eastAsia" w:ascii="Times New Roman" w:hAnsi="Times New Roman" w:eastAsia="仿宋_GB2312" w:cs="仿宋_GB2312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仿宋_GB2312"/>
                      <w:color w:val="000000"/>
                      <w:sz w:val="21"/>
                      <w:szCs w:val="21"/>
                      <w:lang w:eastAsia="zh-CN"/>
                    </w:rPr>
                    <w:t>30</w:t>
                  </w:r>
                </w:p>
              </w:tc>
              <w:tc>
                <w:tcPr>
                  <w:tcW w:w="1000" w:type="dxa"/>
                  <w:noWrap w:val="0"/>
                  <w:vAlign w:val="center"/>
                </w:tcPr>
                <w:p>
                  <w:pPr>
                    <w:pStyle w:val="6"/>
                    <w:jc w:val="center"/>
                    <w:rPr>
                      <w:rFonts w:hint="eastAsia" w:ascii="Times New Roman" w:hAnsi="Times New Roman" w:eastAsia="仿宋_GB2312" w:cs="仿宋_GB2312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仿宋_GB2312"/>
                      <w:color w:val="000000"/>
                      <w:sz w:val="21"/>
                      <w:szCs w:val="21"/>
                      <w:lang w:eastAsia="zh-CN"/>
                    </w:rPr>
                    <w:t>34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  <w:jc w:val="center"/>
              </w:trPr>
              <w:tc>
                <w:tcPr>
                  <w:tcW w:w="3053" w:type="dxa"/>
                  <w:noWrap w:val="0"/>
                  <w:vAlign w:val="center"/>
                </w:tcPr>
                <w:p>
                  <w:pPr>
                    <w:pStyle w:val="6"/>
                    <w:jc w:val="center"/>
                    <w:rPr>
                      <w:rFonts w:hint="eastAsia" w:ascii="Times New Roman" w:hAnsi="Times New Roman" w:eastAsia="仿宋_GB2312" w:cs="仿宋_GB2312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仿宋_GB2312"/>
                      <w:color w:val="000000"/>
                      <w:sz w:val="21"/>
                      <w:szCs w:val="21"/>
                      <w:lang w:eastAsia="zh-CN"/>
                    </w:rPr>
                    <w:t>集中在一根或两根外层绳股上</w:t>
                  </w:r>
                </w:p>
              </w:tc>
              <w:tc>
                <w:tcPr>
                  <w:tcW w:w="961" w:type="dxa"/>
                  <w:noWrap w:val="0"/>
                  <w:vAlign w:val="center"/>
                </w:tcPr>
                <w:p>
                  <w:pPr>
                    <w:pStyle w:val="6"/>
                    <w:jc w:val="center"/>
                    <w:rPr>
                      <w:rFonts w:hint="eastAsia" w:ascii="Times New Roman" w:hAnsi="Times New Roman" w:eastAsia="仿宋_GB2312" w:cs="仿宋_GB2312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仿宋_GB2312"/>
                      <w:color w:val="000000"/>
                      <w:sz w:val="21"/>
                      <w:szCs w:val="21"/>
                      <w:lang w:eastAsia="zh-CN"/>
                    </w:rPr>
                    <w:t>8</w:t>
                  </w:r>
                </w:p>
              </w:tc>
              <w:tc>
                <w:tcPr>
                  <w:tcW w:w="1070" w:type="dxa"/>
                  <w:noWrap w:val="0"/>
                  <w:vAlign w:val="center"/>
                </w:tcPr>
                <w:p>
                  <w:pPr>
                    <w:pStyle w:val="6"/>
                    <w:jc w:val="center"/>
                    <w:rPr>
                      <w:rFonts w:hint="eastAsia" w:ascii="Times New Roman" w:hAnsi="Times New Roman" w:eastAsia="仿宋_GB2312" w:cs="仿宋_GB2312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仿宋_GB2312"/>
                      <w:color w:val="000000"/>
                      <w:sz w:val="21"/>
                      <w:szCs w:val="21"/>
                      <w:lang w:eastAsia="zh-CN"/>
                    </w:rPr>
                    <w:t>10</w:t>
                  </w:r>
                </w:p>
              </w:tc>
              <w:tc>
                <w:tcPr>
                  <w:tcW w:w="1000" w:type="dxa"/>
                  <w:noWrap w:val="0"/>
                  <w:vAlign w:val="center"/>
                </w:tcPr>
                <w:p>
                  <w:pPr>
                    <w:pStyle w:val="6"/>
                    <w:jc w:val="center"/>
                    <w:rPr>
                      <w:rFonts w:hint="eastAsia" w:ascii="Times New Roman" w:hAnsi="Times New Roman" w:eastAsia="仿宋_GB2312" w:cs="仿宋_GB2312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仿宋_GB2312"/>
                      <w:color w:val="000000"/>
                      <w:sz w:val="21"/>
                      <w:szCs w:val="21"/>
                      <w:lang w:eastAsia="zh-CN"/>
                    </w:rPr>
                    <w:t>11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  <w:jc w:val="center"/>
              </w:trPr>
              <w:tc>
                <w:tcPr>
                  <w:tcW w:w="3053" w:type="dxa"/>
                  <w:noWrap w:val="0"/>
                  <w:vAlign w:val="center"/>
                </w:tcPr>
                <w:p>
                  <w:pPr>
                    <w:pStyle w:val="6"/>
                    <w:jc w:val="center"/>
                    <w:rPr>
                      <w:rFonts w:hint="eastAsia" w:ascii="Times New Roman" w:hAnsi="Times New Roman" w:eastAsia="仿宋_GB2312" w:cs="仿宋_GB2312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仿宋_GB2312"/>
                      <w:color w:val="000000"/>
                      <w:sz w:val="21"/>
                      <w:szCs w:val="21"/>
                      <w:lang w:eastAsia="zh-CN"/>
                    </w:rPr>
                    <w:t>一根外层绳股上相邻的断丝</w:t>
                  </w:r>
                </w:p>
              </w:tc>
              <w:tc>
                <w:tcPr>
                  <w:tcW w:w="961" w:type="dxa"/>
                  <w:noWrap w:val="0"/>
                  <w:vAlign w:val="center"/>
                </w:tcPr>
                <w:p>
                  <w:pPr>
                    <w:pStyle w:val="6"/>
                    <w:jc w:val="center"/>
                    <w:rPr>
                      <w:rFonts w:hint="eastAsia" w:ascii="Times New Roman" w:hAnsi="Times New Roman" w:eastAsia="仿宋_GB2312" w:cs="仿宋_GB2312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仿宋_GB2312"/>
                      <w:color w:val="000000"/>
                      <w:sz w:val="21"/>
                      <w:szCs w:val="21"/>
                      <w:lang w:eastAsia="zh-CN"/>
                    </w:rPr>
                    <w:t>4</w:t>
                  </w:r>
                </w:p>
              </w:tc>
              <w:tc>
                <w:tcPr>
                  <w:tcW w:w="1070" w:type="dxa"/>
                  <w:noWrap w:val="0"/>
                  <w:vAlign w:val="center"/>
                </w:tcPr>
                <w:p>
                  <w:pPr>
                    <w:pStyle w:val="6"/>
                    <w:jc w:val="center"/>
                    <w:rPr>
                      <w:rFonts w:hint="eastAsia" w:ascii="Times New Roman" w:hAnsi="Times New Roman" w:eastAsia="仿宋_GB2312" w:cs="仿宋_GB2312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仿宋_GB2312"/>
                      <w:color w:val="000000"/>
                      <w:sz w:val="21"/>
                      <w:szCs w:val="21"/>
                      <w:lang w:eastAsia="zh-CN"/>
                    </w:rPr>
                    <w:t>4</w:t>
                  </w:r>
                </w:p>
              </w:tc>
              <w:tc>
                <w:tcPr>
                  <w:tcW w:w="1000" w:type="dxa"/>
                  <w:noWrap w:val="0"/>
                  <w:vAlign w:val="center"/>
                </w:tcPr>
                <w:p>
                  <w:pPr>
                    <w:pStyle w:val="6"/>
                    <w:jc w:val="center"/>
                    <w:rPr>
                      <w:rFonts w:hint="eastAsia" w:ascii="Times New Roman" w:hAnsi="Times New Roman" w:eastAsia="仿宋_GB2312" w:cs="仿宋_GB2312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仿宋_GB2312"/>
                      <w:color w:val="000000"/>
                      <w:sz w:val="21"/>
                      <w:szCs w:val="21"/>
                      <w:lang w:eastAsia="zh-CN"/>
                    </w:rPr>
                    <w:t>4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  <w:jc w:val="center"/>
              </w:trPr>
              <w:tc>
                <w:tcPr>
                  <w:tcW w:w="3053" w:type="dxa"/>
                  <w:noWrap w:val="0"/>
                  <w:vAlign w:val="center"/>
                </w:tcPr>
                <w:p>
                  <w:pPr>
                    <w:pStyle w:val="6"/>
                    <w:jc w:val="center"/>
                    <w:rPr>
                      <w:rFonts w:hint="eastAsia" w:ascii="Times New Roman" w:hAnsi="Times New Roman" w:eastAsia="仿宋_GB2312" w:cs="仿宋_GB2312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仿宋_GB2312"/>
                      <w:color w:val="000000"/>
                      <w:sz w:val="21"/>
                      <w:szCs w:val="21"/>
                      <w:lang w:eastAsia="zh-CN"/>
                    </w:rPr>
                    <w:t>股谷（缝）断丝</w:t>
                  </w:r>
                </w:p>
              </w:tc>
              <w:tc>
                <w:tcPr>
                  <w:tcW w:w="961" w:type="dxa"/>
                  <w:noWrap w:val="0"/>
                  <w:vAlign w:val="center"/>
                </w:tcPr>
                <w:p>
                  <w:pPr>
                    <w:pStyle w:val="6"/>
                    <w:jc w:val="center"/>
                    <w:rPr>
                      <w:rFonts w:hint="eastAsia" w:ascii="Times New Roman" w:hAnsi="Times New Roman" w:eastAsia="仿宋_GB2312" w:cs="仿宋_GB2312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仿宋_GB2312"/>
                      <w:color w:val="000000"/>
                      <w:sz w:val="21"/>
                      <w:szCs w:val="21"/>
                      <w:lang w:eastAsia="zh-CN"/>
                    </w:rPr>
                    <w:t>1</w:t>
                  </w:r>
                </w:p>
              </w:tc>
              <w:tc>
                <w:tcPr>
                  <w:tcW w:w="1070" w:type="dxa"/>
                  <w:noWrap w:val="0"/>
                  <w:vAlign w:val="center"/>
                </w:tcPr>
                <w:p>
                  <w:pPr>
                    <w:pStyle w:val="6"/>
                    <w:jc w:val="center"/>
                    <w:rPr>
                      <w:rFonts w:hint="eastAsia" w:ascii="Times New Roman" w:hAnsi="Times New Roman" w:eastAsia="仿宋_GB2312" w:cs="仿宋_GB2312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仿宋_GB2312"/>
                      <w:color w:val="000000"/>
                      <w:sz w:val="21"/>
                      <w:szCs w:val="21"/>
                      <w:lang w:eastAsia="zh-CN"/>
                    </w:rPr>
                    <w:t>1</w:t>
                  </w:r>
                </w:p>
              </w:tc>
              <w:tc>
                <w:tcPr>
                  <w:tcW w:w="1000" w:type="dxa"/>
                  <w:noWrap w:val="0"/>
                  <w:vAlign w:val="center"/>
                </w:tcPr>
                <w:p>
                  <w:pPr>
                    <w:pStyle w:val="6"/>
                    <w:jc w:val="center"/>
                    <w:rPr>
                      <w:rFonts w:hint="eastAsia" w:ascii="Times New Roman" w:hAnsi="Times New Roman" w:eastAsia="仿宋_GB2312" w:cs="仿宋_GB2312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仿宋_GB2312"/>
                      <w:color w:val="000000"/>
                      <w:sz w:val="21"/>
                      <w:szCs w:val="21"/>
                      <w:lang w:eastAsia="zh-CN"/>
                    </w:rPr>
                    <w:t>1</w:t>
                  </w:r>
                </w:p>
              </w:tc>
            </w:tr>
          </w:tbl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b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绳径减小：因磨损、拉伸、绳芯损坏或腐蚀等原因导致钢丝绳直径小于或等于公称直径的90%；</w:t>
            </w:r>
          </w:p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c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变形或损伤：钢丝绳出现笼状畸变、绳股挤出、扭结、部分压扁或弯折；</w:t>
            </w:r>
          </w:p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d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锈蚀：钢丝绳严重锈蚀，铁锈填满绳股间隙。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包覆带或包覆钢丝绳（统称包覆带）</w:t>
            </w:r>
          </w:p>
        </w:tc>
        <w:tc>
          <w:tcPr>
            <w:tcW w:w="6822" w:type="dxa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包覆带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出现裂纹、压痕、弯折、穿刺、凹陷或鼓包；</w:t>
            </w:r>
          </w:p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b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包覆带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中任意一个绳股断裂；</w:t>
            </w:r>
          </w:p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c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包覆带表面因磨损或外力损坏导致内部承载体外露或刺出；</w:t>
            </w:r>
          </w:p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d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承载体出现严重锈蚀、断裂；</w:t>
            </w:r>
          </w:p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e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包覆带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曳引力不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足；</w:t>
            </w:r>
          </w:p>
          <w:p>
            <w:pPr>
              <w:pStyle w:val="2"/>
              <w:rPr>
                <w:rFonts w:hint="default" w:ascii="Times New Roman" w:hAnsi="Times New Roman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f）包覆带达到制造单位声明的使用年限或者驱动主机启动次数。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轿架</w:t>
            </w:r>
          </w:p>
        </w:tc>
        <w:tc>
          <w:tcPr>
            <w:tcW w:w="6822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轿架变形导致轿底倾斜大于其正常位置5%，或在整个井道高度范围内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井道内表面与轿厢地坎、轿门框或滑动轿门的最近门口边缘的水平距离大于0.15m；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轿架严重变形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导致导靴或安全钳不能正常工作；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轿架出现脱焊或材料开裂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影响电梯安全运行；</w:t>
            </w:r>
          </w:p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d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轿架严重腐蚀。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10"/>
                <w:sz w:val="24"/>
                <w:szCs w:val="24"/>
              </w:rPr>
              <w:t>轿壁、轿顶和轿底</w:t>
            </w:r>
          </w:p>
        </w:tc>
        <w:tc>
          <w:tcPr>
            <w:tcW w:w="6830" w:type="dxa"/>
            <w:gridSpan w:val="2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轿壁、轿顶严重锈蚀穿孔或破损穿孔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孔的直径大于10mm；</w:t>
            </w:r>
          </w:p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b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轿壁、轿顶严重变形或破损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加强筋脱落；</w:t>
            </w:r>
          </w:p>
          <w:p>
            <w:pPr>
              <w:jc w:val="left"/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c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轿壁的强度不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足；</w:t>
            </w:r>
          </w:p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d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轿底严重变形、开裂、锈蚀或穿孔；</w:t>
            </w:r>
          </w:p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e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玻璃轿壁、轿顶出现裂纹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f）玻璃轿壁的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玻璃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松出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轿厢面积</w:t>
            </w:r>
          </w:p>
        </w:tc>
        <w:tc>
          <w:tcPr>
            <w:tcW w:w="6830" w:type="dxa"/>
            <w:gridSpan w:val="2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汽车电梯或超面积载货电梯，不按设计用途使用，如汽车电梯不用于非商用汽车运输。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pacing w:val="-10"/>
                <w:sz w:val="24"/>
                <w:szCs w:val="24"/>
              </w:rPr>
              <w:t>对重</w:t>
            </w:r>
            <w:r>
              <w:rPr>
                <w:rFonts w:hint="eastAsia" w:ascii="Times New Roman" w:hAnsi="Times New Roman"/>
                <w:color w:val="000000"/>
                <w:spacing w:val="-1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color w:val="000000"/>
                <w:spacing w:val="-10"/>
                <w:sz w:val="24"/>
                <w:szCs w:val="24"/>
              </w:rPr>
              <w:t>平衡重</w:t>
            </w:r>
            <w:r>
              <w:rPr>
                <w:rFonts w:hint="eastAsia" w:ascii="Times New Roman" w:hAnsi="Times New Roman"/>
                <w:color w:val="000000"/>
                <w:spacing w:val="-1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pacing w:val="-10"/>
                <w:sz w:val="24"/>
                <w:szCs w:val="24"/>
              </w:rPr>
              <w:t>架</w:t>
            </w:r>
          </w:p>
        </w:tc>
        <w:tc>
          <w:tcPr>
            <w:tcW w:w="6830" w:type="dxa"/>
            <w:gridSpan w:val="2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对重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平衡重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架出现严重变形，导致导靴或对重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平衡重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安全钳不能正常工作；</w:t>
            </w:r>
          </w:p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b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对重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平衡重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架直梁、底部横梁发生变形，不能保证对重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平衡重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块在对重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平衡重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架内的可靠固定；</w:t>
            </w:r>
          </w:p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c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对重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平衡重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架严重腐蚀。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8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10"/>
                <w:sz w:val="24"/>
                <w:szCs w:val="24"/>
              </w:rPr>
              <w:t>对重</w:t>
            </w:r>
            <w:r>
              <w:rPr>
                <w:rFonts w:hint="eastAsia" w:ascii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000000"/>
                <w:spacing w:val="-10"/>
                <w:sz w:val="24"/>
                <w:szCs w:val="24"/>
              </w:rPr>
              <w:t>平衡重</w:t>
            </w:r>
            <w:r>
              <w:rPr>
                <w:rFonts w:hint="eastAsia" w:ascii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color w:val="000000"/>
                <w:spacing w:val="-10"/>
                <w:sz w:val="24"/>
                <w:szCs w:val="24"/>
              </w:rPr>
              <w:t>块</w:t>
            </w:r>
          </w:p>
        </w:tc>
        <w:tc>
          <w:tcPr>
            <w:tcW w:w="6830" w:type="dxa"/>
            <w:gridSpan w:val="2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对重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平衡重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块出现开裂、严重变形或断裂；</w:t>
            </w:r>
          </w:p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b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pacing w:val="-6"/>
                <w:sz w:val="24"/>
                <w:szCs w:val="24"/>
              </w:rPr>
              <w:t>对重</w:t>
            </w:r>
            <w:r>
              <w:rPr>
                <w:rFonts w:hint="eastAsia" w:ascii="Times New Roman" w:hAnsi="Times New Roman"/>
                <w:color w:val="000000"/>
                <w:spacing w:val="-6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color w:val="000000"/>
                <w:spacing w:val="-6"/>
                <w:sz w:val="24"/>
                <w:szCs w:val="24"/>
              </w:rPr>
              <w:t>平衡重</w:t>
            </w:r>
            <w:r>
              <w:rPr>
                <w:rFonts w:hint="eastAsia" w:ascii="Times New Roman" w:hAnsi="Times New Roman"/>
                <w:color w:val="000000"/>
                <w:spacing w:val="-6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pacing w:val="-6"/>
                <w:sz w:val="24"/>
                <w:szCs w:val="24"/>
              </w:rPr>
              <w:t>块外包材料出现破损且内部材质可能向外泄露。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18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层门强度</w:t>
            </w:r>
          </w:p>
        </w:tc>
        <w:tc>
          <w:tcPr>
            <w:tcW w:w="6830" w:type="dxa"/>
            <w:gridSpan w:val="2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层门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强度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未经过型式试验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818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轿门开门限制装置</w:t>
            </w:r>
          </w:p>
        </w:tc>
        <w:tc>
          <w:tcPr>
            <w:tcW w:w="6830" w:type="dxa"/>
            <w:gridSpan w:val="2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未设置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轿门开门限制装置。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层门和轿门的门扇</w:t>
            </w:r>
          </w:p>
        </w:tc>
        <w:tc>
          <w:tcPr>
            <w:tcW w:w="6830" w:type="dxa"/>
            <w:gridSpan w:val="2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门扇严重锈蚀穿孔或破损穿孔；</w:t>
            </w:r>
          </w:p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b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门扇背部加强筋脱落；</w:t>
            </w:r>
          </w:p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c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门扇严重变形；</w:t>
            </w:r>
          </w:p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d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门扇外包层脱离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落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；</w:t>
            </w:r>
          </w:p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e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玻璃门扇出现裂纹或玻璃门扇边缘出现锋利缺口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门锁装置</w:t>
            </w:r>
          </w:p>
        </w:tc>
        <w:tc>
          <w:tcPr>
            <w:tcW w:w="6822" w:type="dxa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门锁机械结构变形，导致不能保证7mm 的最小啮合深度；</w:t>
            </w:r>
          </w:p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b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出现裂纹、锈蚀或旋转部件不灵活；</w:t>
            </w:r>
          </w:p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c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门锁触点严重烧蚀造成接触不良，影响电梯正常开、关门。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限速器</w:t>
            </w:r>
          </w:p>
        </w:tc>
        <w:tc>
          <w:tcPr>
            <w:tcW w:w="6830" w:type="dxa"/>
            <w:gridSpan w:val="2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限速器触发装置动作不灵活，夹持装置动作不可靠；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限速器轴承损坏导致限速器轮转动不灵活；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限速器动作时，不能有效提拉安全钳；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用于触发轿厢上行超速保护装置或轿厢意外移动保护装置的限速器，动作时不能有效触发；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限速器电气动作速度和机械动作速度不能符合要求；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限速器外壳发生变形、严重锈蚀或开裂；</w:t>
            </w:r>
          </w:p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g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限速器绳轮出现裂纹，绳槽缺损或严重磨损。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18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限速器钢丝绳</w:t>
            </w:r>
          </w:p>
        </w:tc>
        <w:tc>
          <w:tcPr>
            <w:tcW w:w="6822" w:type="dxa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参见“曳引钢丝绳和液压电梯悬挂钢丝绳”可能存在的问题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  <w:jc w:val="center"/>
        </w:trPr>
        <w:tc>
          <w:tcPr>
            <w:tcW w:w="818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安全钳</w:t>
            </w:r>
          </w:p>
        </w:tc>
        <w:tc>
          <w:tcPr>
            <w:tcW w:w="6830" w:type="dxa"/>
            <w:gridSpan w:val="2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安全钳钳体、夹紧件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楔块或滚柱等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出现裂纹或严重塑性变形；</w:t>
            </w:r>
          </w:p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b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夹紧件出现磨损或锈蚀，无法有效制停轿厢或对重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平衡重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；</w:t>
            </w:r>
          </w:p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c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弹性部件出现塑性变形，无法有效制停轿厢或对重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平衡重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；</w:t>
            </w:r>
          </w:p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d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导向件出现变形或脱落，钳块无法正常动作、有效制停轿厢或对重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平衡重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818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非线性缓冲器</w:t>
            </w:r>
          </w:p>
        </w:tc>
        <w:tc>
          <w:tcPr>
            <w:tcW w:w="6830" w:type="dxa"/>
            <w:gridSpan w:val="2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使用年限达到10年；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非金属材料出现开裂、剥落等老化现象；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c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缓冲器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试验后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，有影响正常工作的永久变形或损坏。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818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耗能型缓冲器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液压缓冲器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830" w:type="dxa"/>
            <w:gridSpan w:val="2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缸体有裂纹；</w:t>
            </w:r>
          </w:p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b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漏油，不能保证正常的工作液面高度；</w:t>
            </w:r>
          </w:p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c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柱塞锈蚀，影响正常工作；</w:t>
            </w:r>
          </w:p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d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有影响正常工作的永久变形或损坏。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轿厢上行超速保护装置</w:t>
            </w:r>
          </w:p>
        </w:tc>
        <w:tc>
          <w:tcPr>
            <w:tcW w:w="6822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未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设置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上行超速保护装置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en-US" w:eastAsia="zh-CN"/>
              </w:rPr>
              <w:t>b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处于失效状态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818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钢丝绳制动器</w:t>
            </w:r>
          </w:p>
        </w:tc>
        <w:tc>
          <w:tcPr>
            <w:tcW w:w="6822" w:type="dxa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触发联动机构损坏；</w:t>
            </w:r>
          </w:p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b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钳体或制动弹簧出现塑性变形、裂纹或断裂；</w:t>
            </w:r>
          </w:p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c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夹紧件出现严重磨损或锈蚀，导致不符合相关标准要求；</w:t>
            </w:r>
          </w:p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d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复位装置损坏。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轿厢意外移动保护装置</w:t>
            </w:r>
          </w:p>
        </w:tc>
        <w:tc>
          <w:tcPr>
            <w:tcW w:w="6830" w:type="dxa"/>
            <w:gridSpan w:val="2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未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设置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轿厢意外移动保护装置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控制柜</w:t>
            </w:r>
          </w:p>
        </w:tc>
        <w:tc>
          <w:tcPr>
            <w:tcW w:w="6822" w:type="dxa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控制柜柜体严重锈蚀变形、损坏，导致柜内元器件无法固定和正常使用；</w:t>
            </w:r>
          </w:p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b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控制柜内电气元件失效导致电梯不能运行；</w:t>
            </w:r>
          </w:p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c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控制柜内变压器、变频器、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电路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板、接触器、制动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电阻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等因老化出现电阻增大、短路、过载、载荷不平衡等情况，导致其工作温度异常升高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pStyle w:val="2"/>
              <w:jc w:val="left"/>
              <w:rPr>
                <w:rFonts w:hint="default"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d）平层准确度和保持精度不能符合要求。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pacing w:val="6"/>
                <w:sz w:val="24"/>
                <w:szCs w:val="24"/>
              </w:rPr>
              <w:t>制动器</w:t>
            </w:r>
            <w:r>
              <w:rPr>
                <w:rFonts w:hint="eastAsia" w:ascii="Times New Roman" w:hAnsi="Times New Roman"/>
                <w:color w:val="000000"/>
                <w:spacing w:val="6"/>
                <w:sz w:val="24"/>
                <w:szCs w:val="24"/>
                <w:lang w:val="en-US" w:eastAsia="zh-CN"/>
              </w:rPr>
              <w:t>提起（释放）动作</w:t>
            </w:r>
            <w:r>
              <w:rPr>
                <w:rFonts w:hint="eastAsia" w:ascii="Times New Roman" w:hAnsi="Times New Roman"/>
                <w:color w:val="000000"/>
                <w:spacing w:val="6"/>
                <w:sz w:val="24"/>
                <w:szCs w:val="24"/>
              </w:rPr>
              <w:t>监测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pacing w:val="6"/>
                <w:sz w:val="24"/>
                <w:szCs w:val="24"/>
                <w:lang w:val="en-US" w:eastAsia="zh-CN"/>
              </w:rPr>
              <w:t>装置</w:t>
            </w:r>
          </w:p>
        </w:tc>
        <w:tc>
          <w:tcPr>
            <w:tcW w:w="6822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a）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未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设置制动器提起（释放）动作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监测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装置；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b）制动器提起（释放）动作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监测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装置失效。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18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4"/>
                <w:szCs w:val="24"/>
                <w:lang w:val="en-US" w:eastAsia="zh-CN"/>
              </w:rPr>
              <w:t>门回路监测功能</w:t>
            </w:r>
          </w:p>
        </w:tc>
        <w:tc>
          <w:tcPr>
            <w:tcW w:w="6822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未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设置门回路监测功能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其他电气制动装置（“封星”制动）</w:t>
            </w:r>
          </w:p>
        </w:tc>
        <w:tc>
          <w:tcPr>
            <w:tcW w:w="6822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a）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未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设置其他电气制动装置（“封星”制动）；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b）其他电气制动装置（“封星”制动）失效或设置不符合要求。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随行电缆</w:t>
            </w:r>
          </w:p>
        </w:tc>
        <w:tc>
          <w:tcPr>
            <w:tcW w:w="6830" w:type="dxa"/>
            <w:gridSpan w:val="2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护套出现开裂，导致线芯外露；</w:t>
            </w:r>
          </w:p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b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绝缘材料发生破损、老化，导致线芯外露；</w:t>
            </w:r>
          </w:p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c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线芯发生断裂或短路，电缆的备用线无法满足需要；</w:t>
            </w:r>
          </w:p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d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电缆严重变形、扭曲。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液压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泵站</w:t>
            </w:r>
          </w:p>
        </w:tc>
        <w:tc>
          <w:tcPr>
            <w:tcW w:w="6822" w:type="dxa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en-US"/>
              </w:rPr>
              <w:t>电动机线圈出现短路、断路、接地、烧毁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；</w:t>
            </w:r>
          </w:p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b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阀体开裂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阀组功能失效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漏油；</w:t>
            </w:r>
          </w:p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c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油箱严重锈蚀、变形、破损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4"/>
                <w:szCs w:val="24"/>
                <w:lang w:val="en-US" w:eastAsia="zh-CN"/>
              </w:rPr>
              <w:t>液压限速切断阀</w:t>
            </w:r>
          </w:p>
        </w:tc>
        <w:tc>
          <w:tcPr>
            <w:tcW w:w="6830" w:type="dxa"/>
            <w:gridSpan w:val="2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a）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调节螺杆断裂；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b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破裂阀功能失效；</w:t>
            </w:r>
          </w:p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c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漏油。</w:t>
            </w:r>
          </w:p>
        </w:tc>
      </w:tr>
    </w:tbl>
    <w:p>
      <w:pPr>
        <w:rPr>
          <w:rFonts w:ascii="Times New Roman" w:hAnsi="Times New Roman" w:eastAsia="仿宋_GB2312"/>
          <w:b/>
          <w:bCs/>
          <w:color w:val="000000"/>
          <w:sz w:val="24"/>
        </w:rPr>
      </w:pPr>
    </w:p>
    <w:p>
      <w:pPr>
        <w:ind w:firstLine="560" w:firstLineChars="200"/>
        <w:rPr>
          <w:rFonts w:hint="eastAsia" w:ascii="Times New Roman" w:hAnsi="Times New Roman" w:eastAsia="黑体"/>
          <w:color w:val="000000"/>
          <w:sz w:val="28"/>
          <w:szCs w:val="28"/>
        </w:rPr>
      </w:pPr>
      <w:r>
        <w:rPr>
          <w:rFonts w:hint="eastAsia" w:ascii="Times New Roman" w:hAnsi="Times New Roman" w:eastAsia="黑体"/>
          <w:color w:val="000000"/>
          <w:sz w:val="28"/>
          <w:szCs w:val="28"/>
        </w:rPr>
        <w:t>二、自动扶梯与自动人行道</w:t>
      </w:r>
    </w:p>
    <w:tbl>
      <w:tblPr>
        <w:tblStyle w:val="4"/>
        <w:tblW w:w="954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911"/>
        <w:gridCol w:w="679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tblHeader/>
          <w:jc w:val="center"/>
        </w:trPr>
        <w:tc>
          <w:tcPr>
            <w:tcW w:w="83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91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  <w:t>排查项目</w:t>
            </w:r>
          </w:p>
        </w:tc>
        <w:tc>
          <w:tcPr>
            <w:tcW w:w="6798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  <w:t>可能存在问题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33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支撑结构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桁架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798" w:type="dxa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焊缝或受力构件出现开裂而产生异常的噪声、振动；</w:t>
            </w:r>
          </w:p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b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永久变形导致自动扶梯或自动人行道无法正常运行；</w:t>
            </w:r>
          </w:p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c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主要受力构件严重锈蚀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d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桁架接驳处的紧固件出现裂纹、严重变形、严重锈蚀。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833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梯级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踏板</w:t>
            </w:r>
          </w:p>
        </w:tc>
        <w:tc>
          <w:tcPr>
            <w:tcW w:w="6798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a）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表面永久变形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导致梳齿板梳齿和梯级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或踏板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踏面齿槽的啮合深度小于4mm，间隙大于4mm；</w:t>
            </w:r>
          </w:p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b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断齿或表面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包括踏面和踢板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有裂纹；</w:t>
            </w:r>
          </w:p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c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梯级轴安装座出现变形、裂纹或断裂；</w:t>
            </w:r>
          </w:p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d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梯级轴安装座磨损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导致梯级与梯级轴连接松动；</w:t>
            </w:r>
          </w:p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e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梯级随动滚轮轴出现弯曲变形、裂纹、断裂或螺纹破损；</w:t>
            </w:r>
          </w:p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f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梯级防跳钩弯曲变形、出现裂纹或断裂；</w:t>
            </w:r>
          </w:p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g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组装式梯级或踏板不锈钢表面磨穿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翘起；</w:t>
            </w:r>
          </w:p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h）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组装式梯级或踏板焊点脱焊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导致踏面或踢面变形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833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梯路导轨</w:t>
            </w:r>
          </w:p>
        </w:tc>
        <w:tc>
          <w:tcPr>
            <w:tcW w:w="6798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a）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工作面严重磨损或锈蚀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影响正常运行；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b）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工作面出现凹陷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影响正常运行；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c）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发生弯曲等永久变形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影响正常运行；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d）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出现裂纹或断裂；</w:t>
            </w:r>
          </w:p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e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紧固件出现裂纹、严重变形或锈蚀。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33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电动机</w:t>
            </w:r>
          </w:p>
        </w:tc>
        <w:tc>
          <w:tcPr>
            <w:tcW w:w="6798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a）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电动机外壳或基座有影响安全的破裂；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b）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电动机轴承出现碎裂或影响运行的磨损而产生异常的噪声、振动、温升；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c）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电动机定子与转子发生碰擦而产生异常的噪声、振动；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d）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电动机三相电流不平衡而产生异常的噪声、振动、温升；</w:t>
            </w:r>
          </w:p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e）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在电动机动力电路导线和保护联结电路间施加500V d.c时，测得的绝缘电阻小于1MΩ。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833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减速箱</w:t>
            </w:r>
          </w:p>
        </w:tc>
        <w:tc>
          <w:tcPr>
            <w:tcW w:w="6798" w:type="dxa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蜗轮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蜗杆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、齿轮等出现影响安全运行的轮齿永久变形、折断、裂纹、齿面点蚀、胶合或严重磨损等形式的失效；</w:t>
            </w:r>
          </w:p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b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传动轴、轴承或键出现影响安全运行的损坏；</w:t>
            </w:r>
          </w:p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c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箱体出现裂纹；</w:t>
            </w:r>
          </w:p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d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固定结构严重锈蚀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或出现影响安全运行的损坏；</w:t>
            </w:r>
          </w:p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e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轴伸出端每小时渗漏油面积超过25cm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33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工作制动器</w:t>
            </w:r>
          </w:p>
        </w:tc>
        <w:tc>
          <w:tcPr>
            <w:tcW w:w="679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a）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设备运行时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制动器的制动衬块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片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与制动轮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盘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不能完全脱离；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b）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制动衬块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片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、制动轮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盘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严重磨损或制动弹簧失效；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c）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受力结构件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例如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制动臂、销轴等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出现裂纹或严重磨损；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d）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电磁线圈铁芯动作异常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出现卡阻等现象；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e）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电磁线圈防尘件破损；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f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在制动器电磁线圈和保护联结电路间施加500V d.c时，测得的绝缘电阻小于1MΩ。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33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驱动链</w:t>
            </w:r>
          </w:p>
        </w:tc>
        <w:tc>
          <w:tcPr>
            <w:tcW w:w="6798" w:type="dxa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采用单排链条；</w:t>
            </w:r>
          </w:p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b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伸长超过调整极限；</w:t>
            </w:r>
          </w:p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c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由于链条原因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链条与链轮不能正常啮合；</w:t>
            </w:r>
          </w:p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d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销轴、套筒、链板严重磨损、变形或出现裂纹；</w:t>
            </w:r>
          </w:p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严重锈蚀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导致转动卡阻。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33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附加制动器</w:t>
            </w:r>
          </w:p>
        </w:tc>
        <w:tc>
          <w:tcPr>
            <w:tcW w:w="6798" w:type="dxa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制动衬块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片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、制动轮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盘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严重磨损或制动弹簧失效；</w:t>
            </w:r>
          </w:p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/>
              </w:rPr>
              <w:t>b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6"/>
                <w:sz w:val="24"/>
                <w:szCs w:val="24"/>
              </w:rPr>
              <w:t xml:space="preserve">受力结构件 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6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6"/>
                <w:sz w:val="24"/>
                <w:szCs w:val="24"/>
              </w:rPr>
              <w:t>例如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6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6"/>
                <w:sz w:val="24"/>
                <w:szCs w:val="24"/>
              </w:rPr>
              <w:t xml:space="preserve">制动臂、销轴等 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6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6"/>
                <w:sz w:val="24"/>
                <w:szCs w:val="24"/>
              </w:rPr>
              <w:t>出现裂纹或严重磨损；</w:t>
            </w:r>
          </w:p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电磁线圈铁芯动作异常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出现卡阻等现象；</w:t>
            </w:r>
          </w:p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电磁线圈防尘件破损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33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梯级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链或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踏板链</w:t>
            </w:r>
          </w:p>
        </w:tc>
        <w:tc>
          <w:tcPr>
            <w:tcW w:w="6798" w:type="dxa"/>
            <w:shd w:val="clear" w:color="auto" w:fill="FFFFFF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a）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销轴、套筒严重磨损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导致链条伸长引起梯级间或踏板间的间隙在工作区段内大于6mm，或在自动人行道过渡曲线区段，踏板前缘和相邻踏板后缘啮合间隙大于8mm；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b）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两侧链条伸长不一致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导致运行过程中梯级与梯级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或踏板与踏板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、梯级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或踏板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与梳齿板之间存在碰擦；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c）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严重锈蚀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导致转动卡阻；</w:t>
            </w:r>
          </w:p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d）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销轴、套筒、链板断裂或严重变形。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33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梯级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链或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踏板链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驱动轴及轴承</w:t>
            </w:r>
          </w:p>
        </w:tc>
        <w:tc>
          <w:tcPr>
            <w:tcW w:w="6798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a）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驱动轴出现严重磨损或锈蚀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导致无法正常工作；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b）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驱动轴出现严重变形、裂纹、缺损；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c）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驱动轴轴承出现碎裂或影响运行的磨损而产生异常的噪声、振动、温升；</w:t>
            </w:r>
          </w:p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d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驱动轴焊缝出现开裂。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33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梯级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链或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踏板链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链轮</w:t>
            </w:r>
          </w:p>
        </w:tc>
        <w:tc>
          <w:tcPr>
            <w:tcW w:w="6798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a）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出现断齿；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b）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齿面或沿齿宽方向出现非正常和严重磨损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导致与链条不能正常啮合；</w:t>
            </w:r>
          </w:p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c）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出现严重变形、裂纹、缺损。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3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围裙板</w:t>
            </w:r>
          </w:p>
        </w:tc>
        <w:tc>
          <w:tcPr>
            <w:tcW w:w="6798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a）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出现锈蚀、开裂、翘边、破损、脱落；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b）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表面有大于4mm的永久凹陷；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c）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由围裙板变形导致围裙板与梯级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或踏板、胶带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单侧间隙大于 4mm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或两侧对称处间隙总和大于7mm；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d）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如果自动人行道的围裙板位于踏板或胶带上方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由于围裙板变形导致踏板面与围裙板下端间的间隙大于4mm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或导致横向摆动的踏板、胶带与围裙板垂直投影间产生间隙；</w:t>
            </w:r>
          </w:p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e）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本体支撑结构失效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如加强筋脱落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33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扶手带</w:t>
            </w:r>
          </w:p>
        </w:tc>
        <w:tc>
          <w:tcPr>
            <w:tcW w:w="6798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a）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内部钢丝或钢带裸露；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b）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内外层材料大面积剥离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表面磨损严重；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c）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出现裂纹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裂纹最大宽度大于3mm；</w:t>
            </w:r>
          </w:p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d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因扶手带原因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其运行速度相对于梯级、踏板或胶带实际速度的允差超出0％～+2％范围。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33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梳齿板</w:t>
            </w:r>
          </w:p>
        </w:tc>
        <w:tc>
          <w:tcPr>
            <w:tcW w:w="6798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a）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单块梳齿板断齿；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b）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梳齿变形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与梯级碰擦；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c）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梳齿板变形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造成梳齿板的梳齿与踏面齿槽的啮合深度小于4mm，间隙大于4mm；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d）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梳齿板开裂；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e）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梳齿严重磨损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导致梳齿的宽度在梳齿板踏面位置测量梳齿小于2.5mm。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33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控制柜</w:t>
            </w:r>
          </w:p>
        </w:tc>
        <w:tc>
          <w:tcPr>
            <w:tcW w:w="6798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a）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控制柜柜体严重锈蚀变形、损坏，导致柜内元器件无法固定和正常使用；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b）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控制柜内电气元件失效导致电梯不能运行，无法更换为同规格参数的元件，或更换替代元件后仍无法正常运行；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c）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在控制柜动力电路导线和保护联结电路间施加500V d.c时，测得的绝缘电阻小于1MΩ；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d）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控制柜内变压器、变频器、接触器、制动电阻等因老化出现电阻增大、短路、过载、载荷不平衡等情况，导致其工作温度异常升高；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e）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电路板发生短路、断路、元器件脱落等；</w:t>
            </w:r>
          </w:p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f）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可编程控制器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PLC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主要单元、模块失效。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33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梯级或踏板下陷保护</w:t>
            </w:r>
          </w:p>
        </w:tc>
        <w:tc>
          <w:tcPr>
            <w:tcW w:w="6798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a）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未设置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梯级或踏板下陷保护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b）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梯级或踏板下陷保护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功能失效。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33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非操纵逆转保护</w:t>
            </w:r>
          </w:p>
        </w:tc>
        <w:tc>
          <w:tcPr>
            <w:tcW w:w="6798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a）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未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设置非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操纵逆转保护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功能；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b）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非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操纵逆转保护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功失效。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33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梯级或踏板缺失保护</w:t>
            </w:r>
          </w:p>
        </w:tc>
        <w:tc>
          <w:tcPr>
            <w:tcW w:w="6798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a）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未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设置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梯级或踏板缺失保护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功能；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b）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梯级或踏板缺失保护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功能失效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33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扶手带速度偏离保护</w:t>
            </w:r>
          </w:p>
        </w:tc>
        <w:tc>
          <w:tcPr>
            <w:tcW w:w="6798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a）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未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设置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扶手带速度偏离保护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功能；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b）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扶手带速度偏离保护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功能失效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33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制动器松闸故障保护</w:t>
            </w:r>
          </w:p>
        </w:tc>
        <w:tc>
          <w:tcPr>
            <w:tcW w:w="6798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a）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未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设置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制动器松闸故障保护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功能；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b）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制动器松闸故障保护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功能失效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33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检查检修盖板和楼层板的电气安全装置</w:t>
            </w:r>
          </w:p>
        </w:tc>
        <w:tc>
          <w:tcPr>
            <w:tcW w:w="6798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a）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未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设置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检查检修盖板和楼层板移开的电气安全装置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b）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检查检修盖板和楼层板移开的电气安全装置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失效。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33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相关故障锁定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6798" w:type="dxa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未设置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非操纵逆转保护、梯级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踏板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缺失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保护、扶手带速度偏离保护对应的故障锁定功能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spacing w:before="156"/>
        <w:ind w:firstLine="482" w:firstLineChars="200"/>
        <w:rPr>
          <w:rFonts w:ascii="Times New Roman" w:hAnsi="Times New Roman" w:eastAsia="仿宋_GB2312"/>
          <w:b/>
          <w:bCs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3053AA"/>
    <w:multiLevelType w:val="multilevel"/>
    <w:tmpl w:val="2D3053AA"/>
    <w:lvl w:ilvl="0" w:tentative="0">
      <w:start w:val="1"/>
      <w:numFmt w:val="decimal"/>
      <w:lvlText w:val="%1."/>
      <w:lvlJc w:val="left"/>
      <w:pPr>
        <w:ind w:left="440" w:hanging="440"/>
      </w:p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1">
    <w:nsid w:val="44A362C9"/>
    <w:multiLevelType w:val="multilevel"/>
    <w:tmpl w:val="44A362C9"/>
    <w:lvl w:ilvl="0" w:tentative="0">
      <w:start w:val="1"/>
      <w:numFmt w:val="decimal"/>
      <w:lvlText w:val="%1."/>
      <w:lvlJc w:val="left"/>
      <w:pPr>
        <w:ind w:left="440" w:hanging="440"/>
      </w:p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C3ADA"/>
    <w:rsid w:val="313C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省市场监督管理局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2024-05-06T09:47:00Z</dcterms:created>
  <dc:creator>胡翌婧</dc:creator>
  <cp:lastModifiedBy>胡翌婧</cp:lastModifiedBy>
  <dcterms:modified xsi:type="dcterms:W3CDTF">2024-05-06T09:50:00Z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C90B5791BAA943E8977E1EE46EC89877</vt:lpwstr>
  </property>
</Properties>
</file>