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eastAsia="黑体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2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jc w:val="both"/>
        <w:textAlignment w:val="auto"/>
        <w:rPr>
          <w:rFonts w:hint="eastAsia" w:eastAsia="黑体" w:cs="Times New Roman"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特种设备公益宣传讲座视频目录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5"/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</w:p>
    <w:tbl>
      <w:tblPr>
        <w:tblStyle w:val="3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4448"/>
        <w:gridCol w:w="311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</w:rPr>
              <w:t>公益宣传讲座视频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目录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3" w:firstLineChars="300"/>
              <w:jc w:val="left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4"/>
                <w:lang w:eastAsia="zh-CN"/>
              </w:rPr>
              <w:t>制作</w:t>
            </w: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4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标准宣贯：重大活动特种设备安全保障规范——电梯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广州市市场监督管理局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曾庆东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极端天气下电梯安全风险防范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韶关市市场监督管理局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黄艺荣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国家市场监督管理总局令 第73号《特种设备生产单位落实质量安全主体责任监督管理规定》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广东省特种设备行业协会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江震洲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国家市场监督管理总局令 第74号《特种设备使用单位落实使用安全主体责任监督管理规定》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广东省特种设备行业协会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江震洲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电梯制动器制动线圈续流回路故障案例分析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鼓式制动器开闸顶杆螺栓断裂案例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秦兵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电梯层门地坎导轨破损变形导致层门运行出现脱轨案例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刘海鑫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电梯制动器拆解保养不当隐患案例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广东省特种设备检测研究院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叶悦佳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电梯检验典型案例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广州特种机电设备检测研究院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陈世泽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自动扶梯非操纵逆转保护功能失效的检验案例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深圳市质量安全检验检测研究院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鲍宏谊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电梯制动器开闸维持电压不足的检验案例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深圳市质量安全检验检测研究院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王保卫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电梯轿门机械锁不符合要求的检验案例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深圳市质量安全检验检测研究院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龙枫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违规更换不同规格制动器线圈组件的检验案例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深圳市质量安全检验检测研究院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罗振华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448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电梯手动紧急操作装置功能失效的检验案例</w:t>
            </w:r>
          </w:p>
        </w:tc>
        <w:tc>
          <w:tcPr>
            <w:tcW w:w="311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深圳市质量安全检验检测研究院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王军泉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06D05ED3"/>
    <w:rsid w:val="06D05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553</Words>
  <Characters>560</Characters>
  <Lines>0</Lines>
  <Paragraphs>0</Paragraphs>
  <TotalTime>0</TotalTime>
  <ScaleCrop>false</ScaleCrop>
  <LinksUpToDate>false</LinksUpToDate>
  <CharactersWithSpaces>562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2023-09-26T09:42:00Z</dcterms:created>
  <dc:creator>胡翌婧</dc:creator>
  <cp:lastModifiedBy>胡翌婧</cp:lastModifiedBy>
  <dcterms:modified xsi:type="dcterms:W3CDTF">2023-09-26T09:44:46Z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08F6E20BE1454D349CBE0B2827CCF7E2_11</vt:lpwstr>
  </property>
</Properties>
</file>