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60" w:lineRule="exact"/>
        <w:rPr>
          <w:rFonts w:eastAsia="黑体" w:cs="黑体"/>
          <w:bCs/>
          <w:sz w:val="32"/>
          <w:szCs w:val="32"/>
        </w:rPr>
      </w:pPr>
    </w:p>
    <w:p>
      <w:pPr>
        <w:pStyle w:val="4"/>
        <w:spacing w:beforeAutospacing="0" w:afterAutospacing="0" w:line="594" w:lineRule="exact"/>
        <w:jc w:val="center"/>
        <w:rPr>
          <w:rFonts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燃气气瓶充装单位和检验机构情况统计</w:t>
      </w:r>
      <w:bookmarkEnd w:id="0"/>
    </w:p>
    <w:p>
      <w:pPr>
        <w:spacing w:line="360" w:lineRule="exact"/>
      </w:pPr>
    </w:p>
    <w:p>
      <w:pPr>
        <w:spacing w:line="520" w:lineRule="exact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填报单位：</w:t>
      </w:r>
      <w:r>
        <w:rPr>
          <w:rFonts w:hint="eastAsia" w:eastAsia="仿宋_GB2312" w:cs="仿宋_GB2312"/>
          <w:bCs/>
          <w:sz w:val="32"/>
          <w:szCs w:val="32"/>
          <w:u w:val="single"/>
        </w:rPr>
        <w:t xml:space="preserve">    省（自治区、直辖市、新疆生产建设兵团）市场监管局（厅、委）</w:t>
      </w:r>
    </w:p>
    <w:tbl>
      <w:tblPr>
        <w:tblStyle w:val="3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69"/>
        <w:gridCol w:w="1428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3769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项目</w:t>
            </w:r>
          </w:p>
        </w:tc>
        <w:tc>
          <w:tcPr>
            <w:tcW w:w="142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数量</w:t>
            </w: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处理方式</w:t>
            </w: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燃气气瓶充装单位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其中已建立充装信息平台单位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超期未检气瓶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翻新气瓶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报废气瓶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6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存在违法违规行为的燃气气瓶充装单位/检验机构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7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违法违规行为已整改的燃气气瓶充装单位/检验机构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8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取缔非法燃气气瓶充装单位/检验机构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9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新购置燃气气瓶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10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涉及制造单位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11</w:t>
            </w:r>
          </w:p>
        </w:tc>
        <w:tc>
          <w:tcPr>
            <w:tcW w:w="3769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手机可查询产品质量信息</w:t>
            </w:r>
          </w:p>
        </w:tc>
        <w:tc>
          <w:tcPr>
            <w:tcW w:w="1428" w:type="dxa"/>
          </w:tcPr>
          <w:p>
            <w:pPr>
              <w:spacing w:line="480" w:lineRule="exact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/</w:t>
            </w:r>
          </w:p>
        </w:tc>
        <w:tc>
          <w:tcPr>
            <w:tcW w:w="1545" w:type="dxa"/>
          </w:tcPr>
          <w:p>
            <w:pPr>
              <w:spacing w:line="480" w:lineRule="exact"/>
              <w:jc w:val="center"/>
              <w:rPr>
                <w:rFonts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注：1.本表数据统计截止时间为2021年9月30日。</w:t>
      </w:r>
    </w:p>
    <w:p>
      <w:pPr>
        <w:spacing w:line="520" w:lineRule="exact"/>
        <w:ind w:firstLine="640" w:firstLineChars="200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2.本表第2—11项均为2021年1—9月期间的数据。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B"/>
    <w:rsid w:val="00014CB0"/>
    <w:rsid w:val="00B82A65"/>
    <w:rsid w:val="00FC555B"/>
    <w:rsid w:val="2B4B1507"/>
    <w:rsid w:val="58C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spacing w:beforeAutospacing="1" w:afterAutospacing="1"/>
      <w:jc w:val="left"/>
      <w:textAlignment w:val="baseline"/>
    </w:pPr>
    <w:rPr>
      <w:rFonts w:ascii="宋体" w:hAnsi="宋体"/>
      <w:b/>
      <w:kern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2021-04-27T01:31:00Z</dcterms:created>
  <dc:creator>55682</dc:creator>
  <cp:lastModifiedBy>特设局马俊</cp:lastModifiedBy>
  <dcterms:modified xsi:type="dcterms:W3CDTF">2021-04-27T01:48:26Z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